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A47" w:rsidRDefault="00DF7A47" w:rsidP="00DF7A47">
      <w:pPr>
        <w:jc w:val="center"/>
      </w:pPr>
      <w:r>
        <w:t>Zaproszenie</w:t>
      </w:r>
    </w:p>
    <w:p w:rsidR="00DF7A47" w:rsidRDefault="00DF7A47" w:rsidP="00DF7A47">
      <w:pPr>
        <w:jc w:val="center"/>
      </w:pPr>
      <w:r>
        <w:t>do złożenia oferty o wartości nieprzekraczającej równowartości 30.000 euro</w:t>
      </w:r>
    </w:p>
    <w:p w:rsidR="00DF7A47" w:rsidRDefault="00DF7A47" w:rsidP="00DF7A47"/>
    <w:p w:rsidR="00DF7A47" w:rsidRDefault="00DF7A47" w:rsidP="00322C09">
      <w:pPr>
        <w:jc w:val="both"/>
      </w:pPr>
      <w:r>
        <w:t xml:space="preserve">Muzeum Azji i Pacyfiku im. Andrzeja Wawrzyniaka w Warszawie, zwane dalej Zamawiającym, zaprasza do składania ofert na pełnienie funkcji inspektora nadzoru budowlanego oraz doradztwa technicznego dla zadania inwestycyjnego pod nazwą „Zaprojektowanie i wykonanie prac budowlanych na potrzeby ekspozycji stałej Muzeum Azji i Pacyfiku” w swojej siedzibie przy ul. Solec 24 w Warszawie. 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>I. Przedmiotem zamówienia jest pełnienie funkcji inspektora nadzoru budowlanego w zakresie konstrukcji i robót ogólnobudowlanych, instalacji sanitarnych i instalacji elektrycznych, w tym niskoprądowych i teletechnicznych,  oraz doradztwa technicznego w procesie inwestycyjnym. Kierownikiem zespołu powinien być jeden z inspektorów ww. branż. Wymagane jest spełnienie następujących wymagań: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>1/ doświadczenie zawodowe min. 5 lat od daty uzyskania wymaganych uprawnień budowlanych,</w:t>
      </w:r>
    </w:p>
    <w:p w:rsidR="00DF7A47" w:rsidRPr="00DD4BF1" w:rsidRDefault="00DF7A47" w:rsidP="00322C09">
      <w:pPr>
        <w:jc w:val="both"/>
      </w:pPr>
    </w:p>
    <w:p w:rsidR="00DF7A47" w:rsidRPr="00DD4BF1" w:rsidRDefault="00DF7A47" w:rsidP="00322C09">
      <w:pPr>
        <w:jc w:val="both"/>
      </w:pPr>
      <w:r>
        <w:t>2</w:t>
      </w:r>
      <w:r w:rsidRPr="00DD4BF1">
        <w:t xml:space="preserve">/ uprawnienia w rozumieniu </w:t>
      </w:r>
      <w:r w:rsidRPr="00DD4BF1">
        <w:rPr>
          <w:color w:val="000000"/>
        </w:rPr>
        <w:t xml:space="preserve">art. 12, art. 12a ust. 1 oraz art. 14 ust. 1 </w:t>
      </w:r>
      <w:r w:rsidRPr="00DD4BF1">
        <w:rPr>
          <w:color w:val="000000"/>
          <w:spacing w:val="-1"/>
        </w:rPr>
        <w:t>ustawy z dnia 7 lipca 1994 r. Prawo budowlane</w:t>
      </w:r>
      <w:r>
        <w:rPr>
          <w:color w:val="000000"/>
          <w:spacing w:val="-1"/>
        </w:rPr>
        <w:t xml:space="preserve"> (Dz. U. z 2018 r., poz. 1202, 1276),</w:t>
      </w:r>
      <w:r w:rsidRPr="00DD4BF1">
        <w:rPr>
          <w:color w:val="000000"/>
          <w:spacing w:val="-1"/>
        </w:rPr>
        <w:t xml:space="preserve"> </w:t>
      </w:r>
      <w:r w:rsidRPr="00DD4BF1">
        <w:rPr>
          <w:color w:val="000000"/>
        </w:rPr>
        <w:t xml:space="preserve">lub odpowiadające im ważne uprawnienia budowlane, które zostały wydane na podstawie wcześniej obowiązujących przepisów lub odpowiadające im uprawnienia wydane </w:t>
      </w:r>
      <w:r w:rsidRPr="00DD4BF1">
        <w:rPr>
          <w:color w:val="000000"/>
          <w:spacing w:val="-1"/>
        </w:rPr>
        <w:t xml:space="preserve">obywatelom państw Europejskiego Obszaru Gospodarczego oraz Konfederacji Szwajcarskiej, </w:t>
      </w:r>
      <w:r w:rsidRPr="00DD4BF1">
        <w:rPr>
          <w:color w:val="000000"/>
        </w:rPr>
        <w:t xml:space="preserve">z zastrzeżeniem art. 12a oraz innych przepisów ustawy Prawo Budowlane </w:t>
      </w:r>
      <w:r w:rsidRPr="00DD4BF1">
        <w:rPr>
          <w:color w:val="000000"/>
          <w:spacing w:val="-1"/>
        </w:rPr>
        <w:t xml:space="preserve">oraz ustawy z </w:t>
      </w:r>
      <w:r w:rsidRPr="00DD4BF1">
        <w:rPr>
          <w:spacing w:val="-1"/>
        </w:rPr>
        <w:t>dnia18 marca 2008 r.</w:t>
      </w:r>
      <w:r w:rsidRPr="00DD4BF1">
        <w:rPr>
          <w:color w:val="FF0000"/>
          <w:spacing w:val="-1"/>
        </w:rPr>
        <w:t xml:space="preserve"> </w:t>
      </w:r>
      <w:r w:rsidRPr="00DD4BF1">
        <w:rPr>
          <w:color w:val="000000"/>
          <w:spacing w:val="-1"/>
        </w:rPr>
        <w:t xml:space="preserve">o zasadach uznawania kwalifikacji zawodowych nabytych w państwach członkowskich Unii Europejskiej (Dz. U. z 2008 r., Nr </w:t>
      </w:r>
      <w:r w:rsidRPr="00DD4BF1">
        <w:rPr>
          <w:color w:val="000000"/>
        </w:rPr>
        <w:t>63, poz. 394).</w:t>
      </w:r>
    </w:p>
    <w:p w:rsidR="00DF7A47" w:rsidRPr="00DD4BF1" w:rsidRDefault="00DF7A47" w:rsidP="00322C09">
      <w:pPr>
        <w:jc w:val="both"/>
      </w:pPr>
    </w:p>
    <w:p w:rsidR="00DF7A47" w:rsidRDefault="00DF7A47" w:rsidP="00322C09">
      <w:pPr>
        <w:jc w:val="both"/>
      </w:pPr>
      <w:r>
        <w:t>II. Zakres obowiązków wykonawcy obejmować będzie w szczególności: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  <w:rPr>
          <w:color w:val="000000"/>
          <w:spacing w:val="-1"/>
        </w:rPr>
      </w:pPr>
      <w:r>
        <w:t xml:space="preserve">1/ Nadzór inwestorski procesu realizacyjnego w zakresie konstrukcji i robót ogólnobudowlanych, instalacji sanitarnych i instalacji elektrycznych, w tym niskoprądowych i teletechnicznych oraz wykonywanie wszystkich czynności inspektora nadzoru inwestorskiego wynikających z </w:t>
      </w:r>
      <w:r w:rsidRPr="00DD4BF1">
        <w:rPr>
          <w:color w:val="000000"/>
          <w:spacing w:val="-1"/>
        </w:rPr>
        <w:t>ustawy z dnia 7 lipca 1994 r. Prawo budowlane</w:t>
      </w:r>
      <w:r>
        <w:rPr>
          <w:color w:val="000000"/>
          <w:spacing w:val="-1"/>
        </w:rPr>
        <w:t xml:space="preserve"> (Dz. U. z 2018 r., poz. 1202, 1276), rozporządzenia Ministra Infrastruktury z dn. 26 czerwca 2002 r. w sprawie dziennika budowy, montażu i rozbiórki, tablicy informacyjnej oraz ogłoszenia zawierającego dane dotyczące bezpieczeństwa pracy i ochrony zdrowia (Dz. U. z 2002 r. poz. 953) oraz umowy z wykonawcą robót budowlanych.</w:t>
      </w:r>
    </w:p>
    <w:p w:rsidR="00DF7A47" w:rsidRDefault="00DF7A47" w:rsidP="00322C09">
      <w:pPr>
        <w:jc w:val="both"/>
        <w:rPr>
          <w:color w:val="000000"/>
          <w:spacing w:val="-1"/>
        </w:rPr>
      </w:pPr>
    </w:p>
    <w:p w:rsidR="00DF7A47" w:rsidRDefault="00DF7A47" w:rsidP="00322C09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2/ Kontrola zgodności wykonywanej umowy przez wykonawcę robót budowlanych z umową o realizację inwestycji, harmonogramem rzeczowo-finansowym, dokumentacją projektową, techniczną, aktualną wiedzą techniczną i obowiązującymi przepisami prawa oraz kontrola terminowości wykonania robót.</w:t>
      </w:r>
    </w:p>
    <w:p w:rsidR="00DF7A47" w:rsidRDefault="00DF7A47" w:rsidP="00322C09">
      <w:pPr>
        <w:jc w:val="both"/>
        <w:rPr>
          <w:color w:val="000000"/>
          <w:spacing w:val="-1"/>
        </w:rPr>
      </w:pPr>
    </w:p>
    <w:p w:rsidR="00DF7A47" w:rsidRDefault="00DF7A47" w:rsidP="00322C09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 xml:space="preserve">3/ Kontrola rozliczeń finansowych, a w szczególności kosztorysów, wystawiania faktur przez wykonawcę robót budowlanych, zakresów prac, zgodności kwot z zawartą umową, kwalifikowalności wydatków, monitorowanie i przygotowywanie dokumentów związanych z naliczaniem kar umownych oraz odszkodowań należnych inwestorowi, rozliczenie końcowe inwestycji włącznie z przygotowywaniem i przekazaniem inwestorowi kompletu dokumentacji do </w:t>
      </w:r>
      <w:r>
        <w:rPr>
          <w:color w:val="000000"/>
          <w:spacing w:val="-1"/>
        </w:rPr>
        <w:lastRenderedPageBreak/>
        <w:t>rozliczenia inwestycji. Kontrola rozliczeń budowy i prawidłowości zafakturowania wykonanych robót w zakresie zgodności z wytycznymi dotyczącymi rozliczania otrzymanych dofinansowań.</w:t>
      </w:r>
    </w:p>
    <w:p w:rsidR="00DF7A47" w:rsidRDefault="00DF7A47" w:rsidP="00322C09">
      <w:pPr>
        <w:jc w:val="both"/>
        <w:rPr>
          <w:color w:val="000000"/>
          <w:spacing w:val="-1"/>
        </w:rPr>
      </w:pPr>
    </w:p>
    <w:p w:rsidR="00DF7A47" w:rsidRDefault="00DF7A47" w:rsidP="00322C09">
      <w:pPr>
        <w:jc w:val="both"/>
        <w:rPr>
          <w:color w:val="000000"/>
          <w:spacing w:val="-1"/>
        </w:rPr>
      </w:pPr>
      <w:r>
        <w:rPr>
          <w:color w:val="000000"/>
          <w:spacing w:val="-1"/>
        </w:rPr>
        <w:t>4/ Reprezentowanie inwestora na budowie przez sprawowanie kontroli zgodności realizacji z projektem, warunkami pozwolenia/zgłoszenia na budowę, umowami, przepisami prawa, obowiązującymi normami, wytycznymi branżowymi oraz zasadami wiedzy technicznej.</w:t>
      </w:r>
    </w:p>
    <w:p w:rsidR="00DF7A47" w:rsidRDefault="00DF7A47" w:rsidP="00322C09">
      <w:pPr>
        <w:jc w:val="both"/>
        <w:rPr>
          <w:color w:val="000000"/>
          <w:spacing w:val="-1"/>
        </w:rPr>
      </w:pPr>
    </w:p>
    <w:p w:rsidR="00DF7A47" w:rsidRPr="00DD4BF1" w:rsidRDefault="00DF7A47" w:rsidP="00322C09">
      <w:pPr>
        <w:jc w:val="both"/>
      </w:pPr>
      <w:r>
        <w:rPr>
          <w:color w:val="000000"/>
          <w:spacing w:val="-1"/>
        </w:rPr>
        <w:t>5/ Sprawdzanie jakości wykonywanych robót i zastosowanych wyrobów budowlanych, a w szczególności zapobieganie zastosowaniu materiałów wadliwych i niedopuszczonych do obrotu i stosowania w budownictwie.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>6/ Sprawdzanie i protokolarne dokonywanie odbiorów robót budowlanych, uczestniczenie w miarę potrzeby w próbach i odbiorach technicznych instalacji i urządzeń, udział w czynnościach odbioru gotowych obiektów budowlanych i przekazywania ich do użytkowania.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>7/ Potwierdzenie faktycznie wykonanych robót.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>8/ Sprawdzanie kompletności przedstawionych przez wykonawcę dokumentów i zaświadczeń wymaganych przez inwestora i niezbędnych do przeprowadzenia odbioru.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 xml:space="preserve">9/ Branie udziału w komisjach powołanych do stwierdzenia ujawnionych wad w okresie trwania gwarancji i rękojmi, w tym udział w odbiorach pogwarancyjnych. 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>10/ Kontrola usunięcia przez wykonawcę robót budowlanych stwierdzonych wad, udział w protokolarnie potwierdzonym przejęciu przez inwestora usunięcia wad.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 xml:space="preserve">11/ Sprawdzanie zgodności ofert przetargowych z wymaganiami określonymi w specyfikacji istotnych warunków zamówienia oraz z przedmiarami i projektami technicznymi. 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>12/ Weryfikacja dokumentacji projektowej opracowanej przez wykonawcę (inwestycja realizowana będzie w trybie „zaprojektuj i wybuduj”; inwestycja realizowana będzie w przekazanym do użytkowania obiekcie budowlanym; roboty budowlane objęte nadzorem inwestorskim są integralnie powiązane z innym zadaniem – tj. wykonaniem ekspozycji stałej).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>III. Dokumenty dotyczące przedmiotu zamówienia: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>1/ Oświadczenia o posiadaniu odpowiednich uprawnień.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 xml:space="preserve">2/ Wykaz doświadczenia zawodowego z ostatnich pięciu lat, w tym w szczególności pełnienia funkcji inspektora nadzoru w obiektach użyteczności publicznej. 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 xml:space="preserve">Ofertę należy złożyć w formie pisemnej w siedzibie zamawiającego, w godzinach pracy Sekretariatu (7.30-15.30) lub w formie skanu dokumentów na adres mailowy </w:t>
      </w:r>
      <w:hyperlink r:id="rId4" w:history="1">
        <w:r w:rsidRPr="00B27581">
          <w:rPr>
            <w:rStyle w:val="Hipercze"/>
          </w:rPr>
          <w:t>sekretariat@muzeumazji.pl</w:t>
        </w:r>
      </w:hyperlink>
      <w:r>
        <w:t xml:space="preserve"> do dn.</w:t>
      </w:r>
      <w:r w:rsidR="00322C09">
        <w:t xml:space="preserve"> </w:t>
      </w:r>
      <w:r w:rsidR="003261DA">
        <w:t>7</w:t>
      </w:r>
      <w:r w:rsidR="00322C09">
        <w:t xml:space="preserve"> sierpnia 2018 r. </w:t>
      </w:r>
      <w:r>
        <w:t xml:space="preserve"> 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 xml:space="preserve">Termin rozstrzygnięcia postępowania: </w:t>
      </w:r>
      <w:r w:rsidR="00322C09">
        <w:t>1</w:t>
      </w:r>
      <w:r w:rsidR="006B5D0A">
        <w:t>0</w:t>
      </w:r>
      <w:r w:rsidR="00322C09">
        <w:t xml:space="preserve"> sierpn</w:t>
      </w:r>
      <w:bookmarkStart w:id="0" w:name="_GoBack"/>
      <w:bookmarkEnd w:id="0"/>
      <w:r w:rsidR="00322C09">
        <w:t xml:space="preserve">ia 2018 r. 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>O wynikach rozstrzygnięcia postępowania oferenci zostaną powiadomieni w formie elektronicznej.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>Wykonawca, który złożył najkorzystniejszą ofertę zgodną z wymogami Zamawiającego, będzie zobowiązany do podpisania umowy wg wzoru przedstawionego przez Zamawiającego w terminie do 14 dni od daty otrzymania informacji o wyborze oferty.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>Kryterium decydującym o wyborze oferty jest:</w:t>
      </w:r>
    </w:p>
    <w:p w:rsidR="00DF7A47" w:rsidRDefault="00DF7A47" w:rsidP="00322C09">
      <w:pPr>
        <w:jc w:val="both"/>
      </w:pPr>
    </w:p>
    <w:p w:rsidR="00DF7A47" w:rsidRDefault="00DF7A47" w:rsidP="00322C09">
      <w:pPr>
        <w:jc w:val="both"/>
      </w:pPr>
      <w:r>
        <w:t>Cena – 60 %</w:t>
      </w:r>
    </w:p>
    <w:p w:rsidR="00DF7A47" w:rsidRDefault="00DF7A47" w:rsidP="00322C09">
      <w:pPr>
        <w:jc w:val="both"/>
      </w:pPr>
      <w:r>
        <w:t>Doświadczenie w realizacji podobnych zamówień w obiektach użyteczności publicznej – 40 %</w:t>
      </w:r>
    </w:p>
    <w:p w:rsidR="00A25B0A" w:rsidRPr="00DF7A47" w:rsidRDefault="00A25B0A" w:rsidP="00322C09">
      <w:pPr>
        <w:jc w:val="both"/>
      </w:pPr>
    </w:p>
    <w:sectPr w:rsidR="00A25B0A" w:rsidRPr="00DF7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7A47"/>
    <w:rsid w:val="001A6557"/>
    <w:rsid w:val="00322C09"/>
    <w:rsid w:val="003261DA"/>
    <w:rsid w:val="00357D78"/>
    <w:rsid w:val="00502B21"/>
    <w:rsid w:val="006B5D0A"/>
    <w:rsid w:val="00802CE2"/>
    <w:rsid w:val="00900C0C"/>
    <w:rsid w:val="00A25B0A"/>
    <w:rsid w:val="00D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38A69F-156A-4668-B00E-18278DEA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Calibri" w:hAnsi="Verdana" w:cs="Times New Roman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7A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02CE2"/>
    <w:rPr>
      <w:b/>
      <w:bCs/>
    </w:rPr>
  </w:style>
  <w:style w:type="paragraph" w:styleId="Bezodstpw">
    <w:name w:val="No Spacing"/>
    <w:uiPriority w:val="1"/>
    <w:qFormat/>
    <w:rsid w:val="00802CE2"/>
  </w:style>
  <w:style w:type="paragraph" w:styleId="Akapitzlist">
    <w:name w:val="List Paragraph"/>
    <w:basedOn w:val="Normalny"/>
    <w:uiPriority w:val="34"/>
    <w:qFormat/>
    <w:rsid w:val="00802CE2"/>
    <w:pPr>
      <w:ind w:left="720"/>
      <w:contextualSpacing/>
    </w:pPr>
  </w:style>
  <w:style w:type="character" w:customStyle="1" w:styleId="bold-bl--lato">
    <w:name w:val="bold-bl--lato"/>
    <w:basedOn w:val="Domylnaczcionkaakapitu"/>
    <w:rsid w:val="00802CE2"/>
  </w:style>
  <w:style w:type="paragraph" w:styleId="Nagwek">
    <w:name w:val="header"/>
    <w:basedOn w:val="Normalny"/>
    <w:link w:val="NagwekZnak"/>
    <w:uiPriority w:val="99"/>
    <w:unhideWhenUsed/>
    <w:rsid w:val="00802CE2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02CE2"/>
  </w:style>
  <w:style w:type="paragraph" w:styleId="Stopka">
    <w:name w:val="footer"/>
    <w:basedOn w:val="Normalny"/>
    <w:link w:val="StopkaZnak"/>
    <w:uiPriority w:val="99"/>
    <w:unhideWhenUsed/>
    <w:rsid w:val="00802CE2"/>
    <w:pPr>
      <w:tabs>
        <w:tab w:val="center" w:pos="4680"/>
        <w:tab w:val="right" w:pos="9360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2CE2"/>
  </w:style>
  <w:style w:type="character" w:styleId="Odwoanieprzypisukocowego">
    <w:name w:val="endnote reference"/>
    <w:basedOn w:val="Domylnaczcionkaakapitu"/>
    <w:uiPriority w:val="99"/>
    <w:semiHidden/>
    <w:unhideWhenUsed/>
    <w:rsid w:val="00802CE2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02CE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02CE2"/>
    <w:rPr>
      <w:sz w:val="20"/>
      <w:szCs w:val="20"/>
    </w:rPr>
  </w:style>
  <w:style w:type="paragraph" w:styleId="Tekstblokowy">
    <w:name w:val="Block Text"/>
    <w:basedOn w:val="Normalny"/>
    <w:semiHidden/>
    <w:rsid w:val="00802CE2"/>
    <w:pPr>
      <w:spacing w:line="360" w:lineRule="atLeast"/>
      <w:ind w:left="284" w:right="-569" w:hanging="284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802CE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802CE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802C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802CE2"/>
    <w:rPr>
      <w:rFonts w:ascii="Courier New" w:eastAsiaTheme="minorHAnsi" w:hAnsi="Courier New" w:cs="Courier New"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02CE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2CE2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F7A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F7A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F7A4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kretariat@muzeumazji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856</Words>
  <Characters>5138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Wasilewska</dc:creator>
  <cp:keywords/>
  <dc:description/>
  <cp:lastModifiedBy>Joanna Wasilewska</cp:lastModifiedBy>
  <cp:revision>5</cp:revision>
  <dcterms:created xsi:type="dcterms:W3CDTF">2018-07-23T08:50:00Z</dcterms:created>
  <dcterms:modified xsi:type="dcterms:W3CDTF">2018-07-24T08:26:00Z</dcterms:modified>
</cp:coreProperties>
</file>